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D9A5FC1"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61768F">
        <w:rPr>
          <w:rFonts w:cs="Arial"/>
          <w:b/>
          <w:sz w:val="24"/>
          <w:szCs w:val="24"/>
        </w:rPr>
        <w:t>14593</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0BE30C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3343D" w:rsidRPr="0043343D">
        <w:rPr>
          <w:rFonts w:cs="Arial"/>
          <w:sz w:val="22"/>
        </w:rPr>
        <w:t>n40 MPR</w:t>
      </w:r>
      <w:r w:rsidR="0061768F">
        <w:rPr>
          <w:rFonts w:cs="Arial"/>
          <w:sz w:val="22"/>
        </w:rPr>
        <w:t xml:space="preserve"> and Interference</w:t>
      </w:r>
      <w:r w:rsidR="0043343D" w:rsidRPr="0043343D">
        <w:rPr>
          <w:rFonts w:cs="Arial"/>
          <w:sz w:val="22"/>
        </w:rPr>
        <w:t xml:space="preserve"> for </w:t>
      </w:r>
      <w:r w:rsidR="0043343D">
        <w:rPr>
          <w:rFonts w:cs="Arial"/>
          <w:sz w:val="22"/>
        </w:rPr>
        <w:t>A</w:t>
      </w:r>
      <w:r w:rsidR="0043343D" w:rsidRPr="0043343D">
        <w:rPr>
          <w:rFonts w:cs="Arial"/>
          <w:sz w:val="22"/>
        </w:rPr>
        <w:t xml:space="preserve">dditional </w:t>
      </w:r>
      <w:r w:rsidR="0043343D">
        <w:rPr>
          <w:rFonts w:cs="Arial"/>
          <w:sz w:val="22"/>
        </w:rPr>
        <w:t>C</w:t>
      </w:r>
      <w:r w:rsidR="0043343D" w:rsidRPr="0043343D">
        <w:rPr>
          <w:rFonts w:cs="Arial"/>
          <w:sz w:val="22"/>
        </w:rPr>
        <w:t xml:space="preserve">hannel </w:t>
      </w:r>
      <w:r w:rsidR="0043343D">
        <w:rPr>
          <w:rFonts w:cs="Arial"/>
          <w:sz w:val="22"/>
        </w:rPr>
        <w:t>B</w:t>
      </w:r>
      <w:r w:rsidR="0043343D" w:rsidRPr="0043343D">
        <w:rPr>
          <w:rFonts w:cs="Arial"/>
          <w:sz w:val="22"/>
        </w:rPr>
        <w:t>andwi</w:t>
      </w:r>
      <w:r w:rsidR="0043343D">
        <w:rPr>
          <w:rFonts w:cs="Arial"/>
          <w:sz w:val="22"/>
        </w:rPr>
        <w:t>d</w:t>
      </w:r>
      <w:r w:rsidR="0043343D" w:rsidRPr="0043343D">
        <w:rPr>
          <w:rFonts w:cs="Arial"/>
          <w:sz w:val="22"/>
        </w:rPr>
        <w:t>ths</w:t>
      </w:r>
    </w:p>
    <w:p w14:paraId="73BCD5A1" w14:textId="58D6EA61"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43343D" w:rsidRPr="0043343D">
        <w:rPr>
          <w:rFonts w:ascii="Arial" w:hAnsi="Arial" w:cs="Arial"/>
          <w:sz w:val="22"/>
        </w:rPr>
        <w:t>10.21.2.2 MPR/A-MPR/NS signaling [NR_bands_R17_BWs -Core]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64F18F38"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43343D">
        <w:rPr>
          <w:rFonts w:eastAsia="SimSun"/>
          <w:lang w:eastAsia="zh-CN"/>
        </w:rPr>
        <w:t>the updated WI [1] agreed in RAN#89</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43343D">
        <w:rPr>
          <w:rFonts w:eastAsia="SimSun"/>
          <w:lang w:eastAsia="zh-CN"/>
        </w:rPr>
        <w:t>,</w:t>
      </w:r>
      <w:r w:rsidR="003653A6">
        <w:rPr>
          <w:rFonts w:eastAsia="SimSun"/>
          <w:lang w:eastAsia="zh-CN"/>
        </w:rPr>
        <w:t xml:space="preserve"> </w:t>
      </w:r>
      <w:r w:rsidR="00FA4228">
        <w:rPr>
          <w:rFonts w:eastAsia="SimSun"/>
          <w:lang w:eastAsia="zh-CN"/>
        </w:rPr>
        <w:t xml:space="preserve">the </w:t>
      </w:r>
      <w:r w:rsidR="0043343D">
        <w:rPr>
          <w:rFonts w:eastAsia="SimSun"/>
          <w:lang w:eastAsia="zh-CN"/>
        </w:rPr>
        <w:t xml:space="preserve">addition of 90 and 100MHz channel bandwidths are requested for </w:t>
      </w:r>
      <w:r w:rsidR="00DA7D37">
        <w:rPr>
          <w:rFonts w:eastAsia="SimSun"/>
          <w:lang w:eastAsia="zh-CN"/>
        </w:rPr>
        <w:t>B</w:t>
      </w:r>
      <w:r w:rsidR="0043343D">
        <w:rPr>
          <w:rFonts w:eastAsia="SimSun"/>
          <w:lang w:eastAsia="zh-CN"/>
        </w:rPr>
        <w:t>and n40</w:t>
      </w:r>
      <w:r w:rsidR="001B39A7">
        <w:rPr>
          <w:rFonts w:eastAsia="SimSun"/>
          <w:lang w:eastAsia="zh-CN"/>
        </w:rPr>
        <w:t xml:space="preserve">. In this contribution, </w:t>
      </w:r>
      <w:r w:rsidR="0043343D">
        <w:rPr>
          <w:rFonts w:eastAsia="SimSun"/>
          <w:lang w:eastAsia="zh-CN"/>
        </w:rPr>
        <w:t>we discuss the related fractional BW criteria issue</w:t>
      </w:r>
      <w:r w:rsidR="0061768F">
        <w:rPr>
          <w:rFonts w:eastAsia="SimSun"/>
          <w:lang w:eastAsia="zh-CN"/>
        </w:rPr>
        <w:t xml:space="preserve">, </w:t>
      </w:r>
      <w:r w:rsidR="00E649D8">
        <w:rPr>
          <w:rFonts w:ascii="Symbol" w:eastAsia="SimSun" w:hAnsi="Symbol"/>
          <w:lang w:eastAsia="zh-CN"/>
        </w:rPr>
        <w:t></w:t>
      </w:r>
      <w:r w:rsidR="0043343D">
        <w:rPr>
          <w:rFonts w:eastAsia="SimSun"/>
          <w:lang w:eastAsia="zh-CN"/>
        </w:rPr>
        <w:t>MPR</w:t>
      </w:r>
      <w:r w:rsidR="0061768F">
        <w:rPr>
          <w:rFonts w:eastAsia="SimSun"/>
          <w:lang w:eastAsia="zh-CN"/>
        </w:rPr>
        <w:t xml:space="preserve"> and potential interference to ISM band</w:t>
      </w:r>
      <w:r w:rsidR="001B39A7">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EE81AA4" w14:textId="750B2B79" w:rsidR="00362F78" w:rsidRDefault="00E649D8" w:rsidP="00845AC8">
      <w:pPr>
        <w:spacing w:after="0"/>
        <w:rPr>
          <w:b/>
        </w:rPr>
      </w:pPr>
      <w:r>
        <w:t xml:space="preserve">For TDD bands, the general MPR applies up to a fractional BW of 4%, above that </w:t>
      </w:r>
      <w:r>
        <w:rPr>
          <w:rFonts w:ascii="Symbol" w:eastAsia="SimSun" w:hAnsi="Symbol"/>
          <w:lang w:eastAsia="zh-CN"/>
        </w:rPr>
        <w:t></w:t>
      </w:r>
      <w:r>
        <w:rPr>
          <w:rFonts w:eastAsia="SimSun"/>
          <w:lang w:eastAsia="zh-CN"/>
        </w:rPr>
        <w:t>MPR may apply.</w:t>
      </w:r>
    </w:p>
    <w:p w14:paraId="72EAFA31" w14:textId="77777777" w:rsidR="00E649D8" w:rsidRDefault="00E649D8" w:rsidP="00845AC8">
      <w:pPr>
        <w:spacing w:after="0"/>
        <w:rPr>
          <w:b/>
        </w:rPr>
      </w:pPr>
    </w:p>
    <w:p w14:paraId="3B8D1B3E" w14:textId="09B9AA68" w:rsidR="00E649D8" w:rsidRDefault="00E649D8" w:rsidP="00845AC8">
      <w:pPr>
        <w:spacing w:after="0"/>
      </w:pPr>
      <w:r w:rsidRPr="00E649D8">
        <w:t>In Table 1 we calculate the fractional bandwidth for the newly requested channel bandwidths for n40 and compare with n41 100MHz case.</w:t>
      </w:r>
    </w:p>
    <w:p w14:paraId="62E5A660" w14:textId="77777777" w:rsidR="00E649D8" w:rsidRDefault="00E649D8" w:rsidP="00845AC8">
      <w:pPr>
        <w:spacing w:after="0"/>
      </w:pPr>
    </w:p>
    <w:p w14:paraId="101C5BFA" w14:textId="794F131B" w:rsidR="00E649D8" w:rsidRDefault="00E649D8" w:rsidP="00E649D8">
      <w:pPr>
        <w:pStyle w:val="Caption"/>
        <w:keepNext/>
        <w:jc w:val="center"/>
      </w:pPr>
      <w:r>
        <w:t xml:space="preserve">Table </w:t>
      </w:r>
      <w:fldSimple w:instr=" SEQ Table \* ARABIC ">
        <w:r>
          <w:rPr>
            <w:noProof/>
          </w:rPr>
          <w:t>1</w:t>
        </w:r>
      </w:fldSimple>
      <w:r>
        <w:t>:</w:t>
      </w:r>
      <w:r w:rsidR="00056340">
        <w:t xml:space="preserve"> Fractional bandwidth for n40 and n41</w:t>
      </w:r>
    </w:p>
    <w:tbl>
      <w:tblPr>
        <w:tblW w:w="4954" w:type="dxa"/>
        <w:jc w:val="center"/>
        <w:tblInd w:w="93" w:type="dxa"/>
        <w:tblLook w:val="04A0" w:firstRow="1" w:lastRow="0" w:firstColumn="1" w:lastColumn="0" w:noHBand="0" w:noVBand="1"/>
      </w:tblPr>
      <w:tblGrid>
        <w:gridCol w:w="980"/>
        <w:gridCol w:w="980"/>
        <w:gridCol w:w="990"/>
        <w:gridCol w:w="980"/>
        <w:gridCol w:w="1024"/>
      </w:tblGrid>
      <w:tr w:rsidR="00E649D8" w:rsidRPr="00E649D8" w14:paraId="5FEA996B" w14:textId="77777777" w:rsidTr="00056340">
        <w:trPr>
          <w:trHeight w:val="269"/>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9409"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Band</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14:paraId="00A4DDDD" w14:textId="77777777" w:rsidR="00E649D8" w:rsidRPr="00E649D8" w:rsidRDefault="00E649D8" w:rsidP="00E649D8">
            <w:pPr>
              <w:overflowPunct/>
              <w:autoSpaceDE/>
              <w:autoSpaceDN/>
              <w:adjustRightInd/>
              <w:spacing w:after="0"/>
              <w:jc w:val="center"/>
              <w:textAlignment w:val="auto"/>
              <w:rPr>
                <w:rFonts w:ascii="Calibri" w:hAnsi="Calibri"/>
                <w:color w:val="000000"/>
              </w:rPr>
            </w:pPr>
            <w:proofErr w:type="spellStart"/>
            <w:r w:rsidRPr="00E649D8">
              <w:rPr>
                <w:rFonts w:ascii="Calibri" w:hAnsi="Calibri"/>
                <w:color w:val="000000"/>
              </w:rPr>
              <w:t>FUL_low</w:t>
            </w:r>
            <w:proofErr w:type="spellEnd"/>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FE00A6D" w14:textId="77777777" w:rsidR="00E649D8" w:rsidRPr="00E649D8" w:rsidRDefault="00E649D8" w:rsidP="00E649D8">
            <w:pPr>
              <w:overflowPunct/>
              <w:autoSpaceDE/>
              <w:autoSpaceDN/>
              <w:adjustRightInd/>
              <w:spacing w:after="0"/>
              <w:jc w:val="center"/>
              <w:textAlignment w:val="auto"/>
              <w:rPr>
                <w:rFonts w:ascii="Calibri" w:hAnsi="Calibri"/>
                <w:color w:val="000000"/>
              </w:rPr>
            </w:pPr>
            <w:proofErr w:type="spellStart"/>
            <w:r w:rsidRPr="00E649D8">
              <w:rPr>
                <w:rFonts w:ascii="Calibri" w:hAnsi="Calibri"/>
                <w:color w:val="000000"/>
              </w:rPr>
              <w:t>FUL_High</w:t>
            </w:r>
            <w:proofErr w:type="spellEnd"/>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0FCD8B4"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Channel</w:t>
            </w:r>
            <w:r w:rsidRPr="00E649D8">
              <w:rPr>
                <w:rFonts w:ascii="Calibri" w:hAnsi="Calibri"/>
                <w:color w:val="000000"/>
              </w:rPr>
              <w:br/>
              <w:t>BW</w:t>
            </w:r>
          </w:p>
        </w:tc>
        <w:tc>
          <w:tcPr>
            <w:tcW w:w="1024" w:type="dxa"/>
            <w:tcBorders>
              <w:top w:val="single" w:sz="4" w:space="0" w:color="auto"/>
              <w:left w:val="nil"/>
              <w:bottom w:val="single" w:sz="4" w:space="0" w:color="auto"/>
              <w:right w:val="single" w:sz="4" w:space="0" w:color="auto"/>
            </w:tcBorders>
            <w:shd w:val="clear" w:color="auto" w:fill="auto"/>
            <w:vAlign w:val="center"/>
            <w:hideMark/>
          </w:tcPr>
          <w:p w14:paraId="5F126647"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Fractional</w:t>
            </w:r>
            <w:r w:rsidRPr="00E649D8">
              <w:rPr>
                <w:rFonts w:ascii="Calibri" w:hAnsi="Calibri"/>
                <w:color w:val="000000"/>
              </w:rPr>
              <w:br/>
              <w:t>BW</w:t>
            </w:r>
          </w:p>
        </w:tc>
      </w:tr>
      <w:tr w:rsidR="00E649D8" w:rsidRPr="00E649D8" w14:paraId="354275DC" w14:textId="77777777" w:rsidTr="00E649D8">
        <w:trPr>
          <w:trHeight w:val="58"/>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60C7FBA"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n40</w:t>
            </w:r>
          </w:p>
        </w:tc>
        <w:tc>
          <w:tcPr>
            <w:tcW w:w="980" w:type="dxa"/>
            <w:tcBorders>
              <w:top w:val="nil"/>
              <w:left w:val="nil"/>
              <w:bottom w:val="single" w:sz="4" w:space="0" w:color="auto"/>
              <w:right w:val="single" w:sz="4" w:space="0" w:color="auto"/>
            </w:tcBorders>
            <w:shd w:val="clear" w:color="auto" w:fill="auto"/>
            <w:noWrap/>
            <w:vAlign w:val="center"/>
            <w:hideMark/>
          </w:tcPr>
          <w:p w14:paraId="688CE4F3"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2300</w:t>
            </w:r>
          </w:p>
        </w:tc>
        <w:tc>
          <w:tcPr>
            <w:tcW w:w="990" w:type="dxa"/>
            <w:tcBorders>
              <w:top w:val="nil"/>
              <w:left w:val="nil"/>
              <w:bottom w:val="single" w:sz="4" w:space="0" w:color="auto"/>
              <w:right w:val="single" w:sz="4" w:space="0" w:color="auto"/>
            </w:tcBorders>
            <w:shd w:val="clear" w:color="auto" w:fill="auto"/>
            <w:noWrap/>
            <w:vAlign w:val="center"/>
            <w:hideMark/>
          </w:tcPr>
          <w:p w14:paraId="00382B14"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2400</w:t>
            </w:r>
          </w:p>
        </w:tc>
        <w:tc>
          <w:tcPr>
            <w:tcW w:w="980" w:type="dxa"/>
            <w:tcBorders>
              <w:top w:val="nil"/>
              <w:left w:val="nil"/>
              <w:bottom w:val="single" w:sz="4" w:space="0" w:color="auto"/>
              <w:right w:val="single" w:sz="4" w:space="0" w:color="auto"/>
            </w:tcBorders>
            <w:shd w:val="clear" w:color="auto" w:fill="auto"/>
            <w:noWrap/>
            <w:vAlign w:val="center"/>
            <w:hideMark/>
          </w:tcPr>
          <w:p w14:paraId="05D947DB"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90</w:t>
            </w:r>
          </w:p>
        </w:tc>
        <w:tc>
          <w:tcPr>
            <w:tcW w:w="1024" w:type="dxa"/>
            <w:tcBorders>
              <w:top w:val="nil"/>
              <w:left w:val="nil"/>
              <w:bottom w:val="single" w:sz="4" w:space="0" w:color="auto"/>
              <w:right w:val="single" w:sz="4" w:space="0" w:color="auto"/>
            </w:tcBorders>
            <w:shd w:val="clear" w:color="auto" w:fill="auto"/>
            <w:noWrap/>
            <w:vAlign w:val="center"/>
            <w:hideMark/>
          </w:tcPr>
          <w:p w14:paraId="7BA648C4"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3.8%</w:t>
            </w:r>
          </w:p>
        </w:tc>
      </w:tr>
      <w:tr w:rsidR="00E649D8" w:rsidRPr="00E649D8" w14:paraId="6C466064" w14:textId="77777777" w:rsidTr="00E649D8">
        <w:trPr>
          <w:trHeight w:val="58"/>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1B046C6"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n40</w:t>
            </w:r>
          </w:p>
        </w:tc>
        <w:tc>
          <w:tcPr>
            <w:tcW w:w="980" w:type="dxa"/>
            <w:tcBorders>
              <w:top w:val="nil"/>
              <w:left w:val="nil"/>
              <w:bottom w:val="single" w:sz="4" w:space="0" w:color="auto"/>
              <w:right w:val="single" w:sz="4" w:space="0" w:color="auto"/>
            </w:tcBorders>
            <w:shd w:val="clear" w:color="auto" w:fill="auto"/>
            <w:noWrap/>
            <w:vAlign w:val="center"/>
            <w:hideMark/>
          </w:tcPr>
          <w:p w14:paraId="7297E933"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2300</w:t>
            </w:r>
          </w:p>
        </w:tc>
        <w:tc>
          <w:tcPr>
            <w:tcW w:w="990" w:type="dxa"/>
            <w:tcBorders>
              <w:top w:val="nil"/>
              <w:left w:val="nil"/>
              <w:bottom w:val="single" w:sz="4" w:space="0" w:color="auto"/>
              <w:right w:val="single" w:sz="4" w:space="0" w:color="auto"/>
            </w:tcBorders>
            <w:shd w:val="clear" w:color="auto" w:fill="auto"/>
            <w:noWrap/>
            <w:vAlign w:val="center"/>
            <w:hideMark/>
          </w:tcPr>
          <w:p w14:paraId="48DA5079"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2400</w:t>
            </w:r>
          </w:p>
        </w:tc>
        <w:tc>
          <w:tcPr>
            <w:tcW w:w="980" w:type="dxa"/>
            <w:tcBorders>
              <w:top w:val="nil"/>
              <w:left w:val="nil"/>
              <w:bottom w:val="single" w:sz="4" w:space="0" w:color="auto"/>
              <w:right w:val="single" w:sz="4" w:space="0" w:color="auto"/>
            </w:tcBorders>
            <w:shd w:val="clear" w:color="auto" w:fill="auto"/>
            <w:noWrap/>
            <w:vAlign w:val="center"/>
            <w:hideMark/>
          </w:tcPr>
          <w:p w14:paraId="7A4E110A"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100</w:t>
            </w:r>
          </w:p>
        </w:tc>
        <w:tc>
          <w:tcPr>
            <w:tcW w:w="1024" w:type="dxa"/>
            <w:tcBorders>
              <w:top w:val="nil"/>
              <w:left w:val="nil"/>
              <w:bottom w:val="single" w:sz="4" w:space="0" w:color="auto"/>
              <w:right w:val="single" w:sz="4" w:space="0" w:color="auto"/>
            </w:tcBorders>
            <w:shd w:val="clear" w:color="auto" w:fill="auto"/>
            <w:noWrap/>
            <w:vAlign w:val="center"/>
            <w:hideMark/>
          </w:tcPr>
          <w:p w14:paraId="1FF099BB"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4.3%</w:t>
            </w:r>
          </w:p>
        </w:tc>
      </w:tr>
      <w:tr w:rsidR="00E649D8" w:rsidRPr="00E649D8" w14:paraId="37A8D44F" w14:textId="77777777" w:rsidTr="00E649D8">
        <w:trPr>
          <w:trHeight w:val="58"/>
          <w:jc w:val="center"/>
        </w:trPr>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2ECC4C7"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n41</w:t>
            </w:r>
          </w:p>
        </w:tc>
        <w:tc>
          <w:tcPr>
            <w:tcW w:w="980" w:type="dxa"/>
            <w:tcBorders>
              <w:top w:val="nil"/>
              <w:left w:val="nil"/>
              <w:bottom w:val="single" w:sz="4" w:space="0" w:color="auto"/>
              <w:right w:val="single" w:sz="4" w:space="0" w:color="auto"/>
            </w:tcBorders>
            <w:shd w:val="clear" w:color="auto" w:fill="auto"/>
            <w:noWrap/>
            <w:vAlign w:val="center"/>
            <w:hideMark/>
          </w:tcPr>
          <w:p w14:paraId="3045E83A"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2496</w:t>
            </w:r>
          </w:p>
        </w:tc>
        <w:tc>
          <w:tcPr>
            <w:tcW w:w="990" w:type="dxa"/>
            <w:tcBorders>
              <w:top w:val="nil"/>
              <w:left w:val="nil"/>
              <w:bottom w:val="single" w:sz="4" w:space="0" w:color="auto"/>
              <w:right w:val="single" w:sz="4" w:space="0" w:color="auto"/>
            </w:tcBorders>
            <w:shd w:val="clear" w:color="auto" w:fill="auto"/>
            <w:noWrap/>
            <w:vAlign w:val="center"/>
            <w:hideMark/>
          </w:tcPr>
          <w:p w14:paraId="04EABC0F"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2690</w:t>
            </w:r>
          </w:p>
        </w:tc>
        <w:tc>
          <w:tcPr>
            <w:tcW w:w="980" w:type="dxa"/>
            <w:tcBorders>
              <w:top w:val="nil"/>
              <w:left w:val="nil"/>
              <w:bottom w:val="single" w:sz="4" w:space="0" w:color="auto"/>
              <w:right w:val="single" w:sz="4" w:space="0" w:color="auto"/>
            </w:tcBorders>
            <w:shd w:val="clear" w:color="auto" w:fill="auto"/>
            <w:noWrap/>
            <w:vAlign w:val="center"/>
            <w:hideMark/>
          </w:tcPr>
          <w:p w14:paraId="3C3D4DC3"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100</w:t>
            </w:r>
          </w:p>
        </w:tc>
        <w:tc>
          <w:tcPr>
            <w:tcW w:w="1024" w:type="dxa"/>
            <w:tcBorders>
              <w:top w:val="nil"/>
              <w:left w:val="nil"/>
              <w:bottom w:val="single" w:sz="4" w:space="0" w:color="auto"/>
              <w:right w:val="single" w:sz="4" w:space="0" w:color="auto"/>
            </w:tcBorders>
            <w:shd w:val="clear" w:color="auto" w:fill="auto"/>
            <w:noWrap/>
            <w:vAlign w:val="center"/>
            <w:hideMark/>
          </w:tcPr>
          <w:p w14:paraId="16DD022A" w14:textId="77777777" w:rsidR="00E649D8" w:rsidRPr="00E649D8" w:rsidRDefault="00E649D8" w:rsidP="00E649D8">
            <w:pPr>
              <w:overflowPunct/>
              <w:autoSpaceDE/>
              <w:autoSpaceDN/>
              <w:adjustRightInd/>
              <w:spacing w:after="0"/>
              <w:jc w:val="center"/>
              <w:textAlignment w:val="auto"/>
              <w:rPr>
                <w:rFonts w:ascii="Calibri" w:hAnsi="Calibri"/>
                <w:color w:val="000000"/>
              </w:rPr>
            </w:pPr>
            <w:r w:rsidRPr="00E649D8">
              <w:rPr>
                <w:rFonts w:ascii="Calibri" w:hAnsi="Calibri"/>
                <w:color w:val="000000"/>
              </w:rPr>
              <w:t>3.9%</w:t>
            </w:r>
          </w:p>
        </w:tc>
      </w:tr>
    </w:tbl>
    <w:p w14:paraId="3214394E" w14:textId="77777777" w:rsidR="00E649D8" w:rsidRPr="00056340" w:rsidRDefault="00E649D8" w:rsidP="00845AC8">
      <w:pPr>
        <w:spacing w:after="0"/>
        <w:rPr>
          <w:b/>
        </w:rPr>
      </w:pPr>
    </w:p>
    <w:p w14:paraId="453A8ACD" w14:textId="7C3A3E2B" w:rsidR="00056340" w:rsidRPr="00056340" w:rsidRDefault="00056340" w:rsidP="00845AC8">
      <w:pPr>
        <w:spacing w:after="0"/>
        <w:rPr>
          <w:b/>
        </w:rPr>
      </w:pPr>
      <w:r w:rsidRPr="00056340">
        <w:rPr>
          <w:b/>
        </w:rPr>
        <w:t xml:space="preserve">Observations: </w:t>
      </w:r>
    </w:p>
    <w:p w14:paraId="699CF39C" w14:textId="71CC09CB" w:rsidR="00056340" w:rsidRPr="00056340" w:rsidRDefault="00056340" w:rsidP="00056340">
      <w:pPr>
        <w:pStyle w:val="ListParagraph"/>
        <w:numPr>
          <w:ilvl w:val="0"/>
          <w:numId w:val="13"/>
        </w:numPr>
        <w:spacing w:after="0"/>
        <w:rPr>
          <w:b/>
        </w:rPr>
      </w:pPr>
      <w:r w:rsidRPr="00056340">
        <w:rPr>
          <w:b/>
        </w:rPr>
        <w:t>For 90 MHz in n40 the fractional BW criteria is met in a similar way than for 100 MHz in n41</w:t>
      </w:r>
    </w:p>
    <w:p w14:paraId="78E4F8DB" w14:textId="39DC89C9" w:rsidR="00056340" w:rsidRPr="00056340" w:rsidRDefault="00056340" w:rsidP="00056340">
      <w:pPr>
        <w:pStyle w:val="ListParagraph"/>
        <w:numPr>
          <w:ilvl w:val="0"/>
          <w:numId w:val="13"/>
        </w:numPr>
        <w:spacing w:after="0"/>
        <w:rPr>
          <w:b/>
        </w:rPr>
      </w:pPr>
      <w:r w:rsidRPr="00056340">
        <w:rPr>
          <w:b/>
        </w:rPr>
        <w:t>For 100 MHz in n40 the fractional BW criteria is slightly exceeded</w:t>
      </w:r>
    </w:p>
    <w:p w14:paraId="5DA4DF47" w14:textId="77777777" w:rsidR="00B52E6A" w:rsidRDefault="00B52E6A" w:rsidP="00056340">
      <w:pPr>
        <w:pStyle w:val="ListParagraph"/>
        <w:numPr>
          <w:ilvl w:val="0"/>
          <w:numId w:val="13"/>
        </w:numPr>
        <w:spacing w:after="0"/>
        <w:rPr>
          <w:b/>
        </w:rPr>
      </w:pPr>
      <w:r w:rsidRPr="00B52E6A">
        <w:rPr>
          <w:b/>
        </w:rPr>
        <w:t>However</w:t>
      </w:r>
      <w:r>
        <w:rPr>
          <w:b/>
        </w:rPr>
        <w:t>,</w:t>
      </w:r>
      <w:r w:rsidRPr="00B52E6A">
        <w:rPr>
          <w:b/>
        </w:rPr>
        <w:t xml:space="preserve"> </w:t>
      </w:r>
    </w:p>
    <w:p w14:paraId="1AF9B6C2" w14:textId="050A0437" w:rsidR="00056340" w:rsidRDefault="00B52E6A" w:rsidP="00B52E6A">
      <w:pPr>
        <w:pStyle w:val="ListParagraph"/>
        <w:numPr>
          <w:ilvl w:val="1"/>
          <w:numId w:val="13"/>
        </w:numPr>
        <w:spacing w:after="0"/>
        <w:rPr>
          <w:b/>
        </w:rPr>
      </w:pPr>
      <w:r>
        <w:rPr>
          <w:b/>
        </w:rPr>
        <w:t xml:space="preserve">On one </w:t>
      </w:r>
      <w:r w:rsidR="003F77FC">
        <w:rPr>
          <w:b/>
        </w:rPr>
        <w:t>end,</w:t>
      </w:r>
      <w:r>
        <w:rPr>
          <w:b/>
        </w:rPr>
        <w:t xml:space="preserve"> </w:t>
      </w:r>
      <w:r w:rsidRPr="00B52E6A">
        <w:rPr>
          <w:b/>
        </w:rPr>
        <w:t>100MHz fo</w:t>
      </w:r>
      <w:r>
        <w:rPr>
          <w:b/>
        </w:rPr>
        <w:t xml:space="preserve">r n40 is the full band and thus MPR criteria are largely helped by the filter and </w:t>
      </w:r>
      <w:r w:rsidRPr="00B52E6A">
        <w:rPr>
          <w:b/>
        </w:rPr>
        <w:t xml:space="preserve">thus </w:t>
      </w:r>
      <w:r w:rsidRPr="00B52E6A">
        <w:rPr>
          <w:rFonts w:ascii="Symbol" w:hAnsi="Symbol"/>
          <w:b/>
          <w:lang w:eastAsia="zh-CN"/>
        </w:rPr>
        <w:t></w:t>
      </w:r>
      <w:r w:rsidRPr="00B52E6A">
        <w:rPr>
          <w:b/>
          <w:lang w:eastAsia="zh-CN"/>
        </w:rPr>
        <w:t xml:space="preserve">MPR is </w:t>
      </w:r>
      <w:r w:rsidR="0061768F">
        <w:rPr>
          <w:b/>
          <w:lang w:eastAsia="zh-CN"/>
        </w:rPr>
        <w:t xml:space="preserve">probably </w:t>
      </w:r>
      <w:r w:rsidRPr="00B52E6A">
        <w:rPr>
          <w:b/>
          <w:lang w:eastAsia="zh-CN"/>
        </w:rPr>
        <w:t>not needed</w:t>
      </w:r>
    </w:p>
    <w:p w14:paraId="0CF74320" w14:textId="2BBD3E81" w:rsidR="00B52E6A" w:rsidRDefault="00B52E6A" w:rsidP="00B52E6A">
      <w:pPr>
        <w:pStyle w:val="ListParagraph"/>
        <w:numPr>
          <w:ilvl w:val="1"/>
          <w:numId w:val="13"/>
        </w:numPr>
        <w:spacing w:after="0"/>
        <w:rPr>
          <w:b/>
        </w:rPr>
      </w:pPr>
      <w:r>
        <w:rPr>
          <w:b/>
        </w:rPr>
        <w:t>On the other end</w:t>
      </w:r>
      <w:r w:rsidR="003F77FC">
        <w:rPr>
          <w:b/>
        </w:rPr>
        <w:t>,</w:t>
      </w:r>
      <w:r>
        <w:rPr>
          <w:b/>
        </w:rPr>
        <w:t xml:space="preserve"> the abutting ISM band does not favor the use of all UL resources to avoid interference to Bluetooth or </w:t>
      </w:r>
      <w:proofErr w:type="spellStart"/>
      <w:r>
        <w:rPr>
          <w:b/>
        </w:rPr>
        <w:t>WiFi</w:t>
      </w:r>
      <w:proofErr w:type="spellEnd"/>
      <w:r>
        <w:rPr>
          <w:b/>
        </w:rPr>
        <w:t xml:space="preserve"> systems in-device or at the network level.</w:t>
      </w:r>
      <w:r w:rsidR="003F77FC">
        <w:rPr>
          <w:b/>
        </w:rPr>
        <w:t xml:space="preserve"> Note that this is also true for 90 MHz channel bandwidth if placed at the top of the band.</w:t>
      </w:r>
    </w:p>
    <w:p w14:paraId="5868E2CD" w14:textId="77777777" w:rsidR="00B52E6A" w:rsidRDefault="00B52E6A" w:rsidP="00B52E6A">
      <w:pPr>
        <w:spacing w:after="0"/>
        <w:rPr>
          <w:b/>
        </w:rPr>
      </w:pPr>
    </w:p>
    <w:p w14:paraId="3966B1B5" w14:textId="4A7EA8FF" w:rsidR="0061768F" w:rsidRPr="0061768F" w:rsidRDefault="00B52E6A" w:rsidP="0061768F">
      <w:pPr>
        <w:spacing w:after="0"/>
        <w:rPr>
          <w:b/>
        </w:rPr>
      </w:pPr>
      <w:r w:rsidRPr="0061768F">
        <w:rPr>
          <w:b/>
        </w:rPr>
        <w:t xml:space="preserve">Proposal: The need for 100MHz UL BW in n40 is further evaluated in relation </w:t>
      </w:r>
      <w:r w:rsidR="00FA4228">
        <w:rPr>
          <w:b/>
        </w:rPr>
        <w:t>to</w:t>
      </w:r>
      <w:r w:rsidRPr="0061768F">
        <w:rPr>
          <w:b/>
        </w:rPr>
        <w:t xml:space="preserve"> potential interference to the whole 2.4 GHz ISM band.</w:t>
      </w:r>
      <w:r w:rsidR="0061768F" w:rsidRPr="0061768F">
        <w:rPr>
          <w:b/>
        </w:rPr>
        <w:t xml:space="preserve"> I</w:t>
      </w:r>
      <w:r w:rsidR="0061768F">
        <w:rPr>
          <w:b/>
        </w:rPr>
        <w:t>f</w:t>
      </w:r>
      <w:r w:rsidR="0061768F" w:rsidRPr="0061768F">
        <w:rPr>
          <w:b/>
        </w:rPr>
        <w:t xml:space="preserve"> still adopted</w:t>
      </w:r>
      <w:r w:rsidR="00FA4228">
        <w:rPr>
          <w:b/>
        </w:rPr>
        <w:t>,</w:t>
      </w:r>
      <w:r w:rsidR="0061768F" w:rsidRPr="0061768F">
        <w:rPr>
          <w:b/>
        </w:rPr>
        <w:t xml:space="preserve"> </w:t>
      </w:r>
      <w:r w:rsidR="0061768F" w:rsidRPr="0061768F">
        <w:rPr>
          <w:rFonts w:ascii="Symbol" w:eastAsia="SimSun" w:hAnsi="Symbol"/>
          <w:b/>
          <w:lang w:eastAsia="zh-CN"/>
        </w:rPr>
        <w:t></w:t>
      </w:r>
      <w:r w:rsidR="0061768F" w:rsidRPr="0061768F">
        <w:rPr>
          <w:rFonts w:eastAsia="SimSun"/>
          <w:b/>
          <w:lang w:eastAsia="zh-CN"/>
        </w:rPr>
        <w:t>MPR</w:t>
      </w:r>
      <w:r w:rsidR="0061768F" w:rsidRPr="0061768F">
        <w:rPr>
          <w:b/>
          <w:lang w:eastAsia="zh-CN"/>
        </w:rPr>
        <w:t xml:space="preserve"> </w:t>
      </w:r>
      <w:r w:rsidR="0061768F">
        <w:rPr>
          <w:b/>
          <w:lang w:eastAsia="zh-CN"/>
        </w:rPr>
        <w:t>may be ignored.</w:t>
      </w:r>
    </w:p>
    <w:p w14:paraId="0CDDCB45" w14:textId="76C21313" w:rsidR="00B52E6A" w:rsidRPr="00B52E6A" w:rsidRDefault="00B52E6A" w:rsidP="00B52E6A">
      <w:pPr>
        <w:spacing w:after="0"/>
        <w:rPr>
          <w:b/>
        </w:rPr>
      </w:pPr>
    </w:p>
    <w:p w14:paraId="7BE54F94" w14:textId="77777777" w:rsidR="00305289" w:rsidRDefault="00305289" w:rsidP="00305289">
      <w:pPr>
        <w:pStyle w:val="Heading1"/>
      </w:pPr>
      <w:r>
        <w:t>Conclusions</w:t>
      </w:r>
    </w:p>
    <w:p w14:paraId="272ACCE4" w14:textId="4D45A7C3" w:rsidR="00305289" w:rsidRDefault="00305289" w:rsidP="00305289">
      <w:pPr>
        <w:spacing w:after="0"/>
        <w:jc w:val="both"/>
      </w:pPr>
      <w:r>
        <w:t xml:space="preserve">In this contribution, we </w:t>
      </w:r>
      <w:r w:rsidR="00B52E6A">
        <w:t>briefly discuss the potential issues of 100 MHZ UL channel BW in Band n40 and make the following proposal.</w:t>
      </w:r>
    </w:p>
    <w:p w14:paraId="16EAC606" w14:textId="77777777" w:rsidR="002F54A3" w:rsidRDefault="002F54A3" w:rsidP="00305289">
      <w:pPr>
        <w:spacing w:after="0"/>
        <w:jc w:val="both"/>
      </w:pPr>
    </w:p>
    <w:p w14:paraId="7AF2AA5D" w14:textId="7826182C" w:rsidR="00FA4228" w:rsidRPr="0061768F" w:rsidRDefault="00FA4228" w:rsidP="00FA4228">
      <w:pPr>
        <w:spacing w:after="0"/>
        <w:rPr>
          <w:b/>
        </w:rPr>
      </w:pPr>
      <w:r w:rsidRPr="0061768F">
        <w:rPr>
          <w:b/>
        </w:rPr>
        <w:t xml:space="preserve">Proposal: The need for 100MHz UL BW in n40 is further evaluated in relation </w:t>
      </w:r>
      <w:r>
        <w:rPr>
          <w:b/>
        </w:rPr>
        <w:t>to</w:t>
      </w:r>
      <w:r w:rsidRPr="0061768F">
        <w:rPr>
          <w:b/>
        </w:rPr>
        <w:t xml:space="preserve"> potential interference to the whole 2.4 GHz ISM band. I</w:t>
      </w:r>
      <w:r>
        <w:rPr>
          <w:b/>
        </w:rPr>
        <w:t>f</w:t>
      </w:r>
      <w:r w:rsidRPr="0061768F">
        <w:rPr>
          <w:b/>
        </w:rPr>
        <w:t xml:space="preserve"> still adopted</w:t>
      </w:r>
      <w:r>
        <w:rPr>
          <w:b/>
        </w:rPr>
        <w:t>,</w:t>
      </w:r>
      <w:r w:rsidRPr="0061768F">
        <w:rPr>
          <w:b/>
        </w:rPr>
        <w:t xml:space="preserve"> </w:t>
      </w:r>
      <w:r w:rsidRPr="0061768F">
        <w:rPr>
          <w:rFonts w:ascii="Symbol" w:eastAsia="SimSun" w:hAnsi="Symbol"/>
          <w:b/>
          <w:lang w:eastAsia="zh-CN"/>
        </w:rPr>
        <w:t></w:t>
      </w:r>
      <w:r w:rsidRPr="0061768F">
        <w:rPr>
          <w:rFonts w:eastAsia="SimSun"/>
          <w:b/>
          <w:lang w:eastAsia="zh-CN"/>
        </w:rPr>
        <w:t>MPR</w:t>
      </w:r>
      <w:r w:rsidRPr="0061768F">
        <w:rPr>
          <w:b/>
          <w:lang w:eastAsia="zh-CN"/>
        </w:rPr>
        <w:t xml:space="preserve"> </w:t>
      </w:r>
      <w:r>
        <w:rPr>
          <w:b/>
          <w:lang w:eastAsia="zh-CN"/>
        </w:rPr>
        <w:t>may be ignored.</w:t>
      </w:r>
    </w:p>
    <w:p w14:paraId="03D6921F" w14:textId="77777777" w:rsidR="00F10F97" w:rsidRDefault="007321E3" w:rsidP="00C8525F">
      <w:pPr>
        <w:pStyle w:val="Heading1"/>
        <w:numPr>
          <w:ilvl w:val="0"/>
          <w:numId w:val="0"/>
        </w:numPr>
        <w:jc w:val="both"/>
      </w:pPr>
      <w:r>
        <w:lastRenderedPageBreak/>
        <w:t>R</w:t>
      </w:r>
      <w:r w:rsidR="00F10F97">
        <w:t>eferences</w:t>
      </w:r>
    </w:p>
    <w:p w14:paraId="145EDCD6" w14:textId="04EF9D3C" w:rsidR="001C356B" w:rsidRDefault="001B39A7" w:rsidP="0043343D">
      <w:r>
        <w:t>[1</w:t>
      </w:r>
      <w:r w:rsidR="00357919" w:rsidRPr="00DD0023">
        <w:t>]</w:t>
      </w:r>
      <w:r w:rsidR="00357919" w:rsidRPr="00DD0023">
        <w:tab/>
      </w:r>
      <w:r w:rsidR="0043343D">
        <w:t>RP-201546 Revised WID: Core part: Rel-17 Adding channel bandwidth support to existing NR bands, Eri</w:t>
      </w:r>
      <w:bookmarkStart w:id="2" w:name="_GoBack"/>
      <w:bookmarkEnd w:id="2"/>
      <w:r w:rsidR="0043343D">
        <w:t>csson, RAN#89e</w:t>
      </w:r>
    </w:p>
    <w:sectPr w:rsidR="001C356B"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97ED0" w14:textId="77777777" w:rsidR="00856BBE" w:rsidRDefault="00856BBE">
      <w:r>
        <w:separator/>
      </w:r>
    </w:p>
  </w:endnote>
  <w:endnote w:type="continuationSeparator" w:id="0">
    <w:p w14:paraId="1438064D" w14:textId="77777777" w:rsidR="00856BBE" w:rsidRDefault="0085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B70CA" w:rsidRDefault="000B70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BA789" w14:textId="77777777" w:rsidR="00856BBE" w:rsidRDefault="00856BBE">
      <w:r>
        <w:separator/>
      </w:r>
    </w:p>
  </w:footnote>
  <w:footnote w:type="continuationSeparator" w:id="0">
    <w:p w14:paraId="10B49FEF" w14:textId="77777777" w:rsidR="00856BBE" w:rsidRDefault="00856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nsid w:val="384D263E"/>
    <w:multiLevelType w:val="hybridMultilevel"/>
    <w:tmpl w:val="803E54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9">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616F1EFE"/>
    <w:multiLevelType w:val="hybridMultilevel"/>
    <w:tmpl w:val="6AFA6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3A28F9"/>
    <w:multiLevelType w:val="hybridMultilevel"/>
    <w:tmpl w:val="10A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14"/>
  </w:num>
  <w:num w:numId="5">
    <w:abstractNumId w:val="4"/>
  </w:num>
  <w:num w:numId="6">
    <w:abstractNumId w:val="0"/>
  </w:num>
  <w:num w:numId="7">
    <w:abstractNumId w:val="9"/>
  </w:num>
  <w:num w:numId="8">
    <w:abstractNumId w:val="12"/>
  </w:num>
  <w:num w:numId="9">
    <w:abstractNumId w:val="8"/>
  </w:num>
  <w:num w:numId="10">
    <w:abstractNumId w:val="2"/>
  </w:num>
  <w:num w:numId="11">
    <w:abstractNumId w:val="1"/>
  </w:num>
  <w:num w:numId="12">
    <w:abstractNumId w:val="13"/>
  </w:num>
  <w:num w:numId="13">
    <w:abstractNumId w:val="10"/>
  </w:num>
  <w:num w:numId="14">
    <w:abstractNumId w:val="11"/>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340"/>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950"/>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3F77FC"/>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43D"/>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68F"/>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BBE"/>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E6A"/>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A7D37"/>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9D8"/>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3AA9"/>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228"/>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E649D8"/>
    <w:pPr>
      <w:keepNext/>
      <w:keepLines/>
      <w:numPr>
        <w:numId w:val="12"/>
      </w:numPr>
      <w:tabs>
        <w:tab w:val="left" w:pos="1109"/>
      </w:tabs>
      <w:spacing w:after="0"/>
      <w:ind w:left="1100" w:hanging="380"/>
    </w:pPr>
    <w:rPr>
      <w:rFonts w:ascii="Arial" w:eastAsia="MS Mincho"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Normal"/>
    <w:qFormat/>
    <w:rsid w:val="00E649D8"/>
    <w:pPr>
      <w:keepNext/>
      <w:keepLines/>
      <w:numPr>
        <w:numId w:val="12"/>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010582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5806C-E6AD-45D8-8E38-56E29F2C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2164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2020-10-22T22:01:00Z</dcterms:created>
  <dcterms:modified xsi:type="dcterms:W3CDTF">2020-10-23T17:41:00Z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